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AA1" w:rsidRDefault="00890AA1">
      <w:pPr>
        <w:jc w:val="center"/>
        <w:rPr>
          <w:b/>
          <w:bCs/>
        </w:rPr>
      </w:pPr>
    </w:p>
    <w:p w:rsidR="00890AA1" w:rsidRDefault="00890AA1">
      <w:pPr>
        <w:jc w:val="center"/>
        <w:rPr>
          <w:b/>
          <w:bCs/>
        </w:rPr>
      </w:pPr>
      <w:r>
        <w:rPr>
          <w:b/>
          <w:bCs/>
        </w:rPr>
        <w:t>Student Learning Assessment Program</w:t>
      </w:r>
    </w:p>
    <w:p w:rsidR="00890AA1" w:rsidRDefault="00890AA1">
      <w:pPr>
        <w:pStyle w:val="Heading2"/>
      </w:pPr>
      <w:r>
        <w:t>Response to Summary Form</w:t>
      </w:r>
    </w:p>
    <w:p w:rsidR="00890AA1" w:rsidRDefault="007D287A">
      <w:pPr>
        <w:jc w:val="center"/>
      </w:pPr>
      <w:r>
        <w:rPr>
          <w:b/>
          <w:bCs/>
        </w:rPr>
        <w:t>G</w:t>
      </w:r>
      <w:r w:rsidR="00890AA1">
        <w:rPr>
          <w:b/>
          <w:bCs/>
        </w:rPr>
        <w:t>raduate Programs 20</w:t>
      </w:r>
      <w:r w:rsidR="00825A5A">
        <w:rPr>
          <w:b/>
          <w:bCs/>
        </w:rPr>
        <w:t>1</w:t>
      </w:r>
      <w:r w:rsidR="00FA25E2">
        <w:rPr>
          <w:b/>
          <w:bCs/>
        </w:rPr>
        <w:t>9</w:t>
      </w:r>
    </w:p>
    <w:p w:rsidR="00890AA1" w:rsidRDefault="00890AA1">
      <w:pPr>
        <w:jc w:val="center"/>
      </w:pPr>
    </w:p>
    <w:p w:rsidR="00890AA1" w:rsidRDefault="00890AA1">
      <w:r>
        <w:t xml:space="preserve">Department:  Family and </w:t>
      </w:r>
      <w:r w:rsidR="00B60569">
        <w:t>Consumer Sciences</w:t>
      </w:r>
    </w:p>
    <w:p w:rsidR="00890AA1" w:rsidRDefault="00890AA1"/>
    <w:tbl>
      <w:tblPr>
        <w:tblW w:w="91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1800"/>
        <w:gridCol w:w="5850"/>
      </w:tblGrid>
      <w:tr w:rsidR="00890AA1" w:rsidTr="00825A5A">
        <w:trPr>
          <w:trHeight w:val="665"/>
        </w:trPr>
        <w:tc>
          <w:tcPr>
            <w:tcW w:w="1530" w:type="dxa"/>
          </w:tcPr>
          <w:p w:rsidR="00890AA1" w:rsidRDefault="00890AA1">
            <w:pPr>
              <w:jc w:val="center"/>
              <w:rPr>
                <w:b/>
                <w:bCs/>
                <w:sz w:val="22"/>
              </w:rPr>
            </w:pPr>
            <w:r>
              <w:rPr>
                <w:b/>
                <w:bCs/>
                <w:sz w:val="22"/>
              </w:rPr>
              <w:t>Category</w:t>
            </w:r>
          </w:p>
        </w:tc>
        <w:tc>
          <w:tcPr>
            <w:tcW w:w="1800" w:type="dxa"/>
          </w:tcPr>
          <w:p w:rsidR="00890AA1" w:rsidRDefault="00890AA1">
            <w:pPr>
              <w:jc w:val="center"/>
              <w:rPr>
                <w:b/>
                <w:bCs/>
                <w:sz w:val="22"/>
              </w:rPr>
            </w:pPr>
            <w:r>
              <w:rPr>
                <w:b/>
                <w:bCs/>
                <w:sz w:val="22"/>
              </w:rPr>
              <w:t>Level</w:t>
            </w:r>
            <w:r>
              <w:rPr>
                <w:rStyle w:val="FootnoteReference"/>
                <w:b/>
                <w:bCs/>
                <w:sz w:val="22"/>
              </w:rPr>
              <w:footnoteReference w:customMarkFollows="1" w:id="1"/>
              <w:t>*</w:t>
            </w:r>
          </w:p>
        </w:tc>
        <w:tc>
          <w:tcPr>
            <w:tcW w:w="5850" w:type="dxa"/>
          </w:tcPr>
          <w:p w:rsidR="00890AA1" w:rsidRDefault="00890AA1">
            <w:pPr>
              <w:pStyle w:val="Heading1"/>
              <w:jc w:val="center"/>
              <w:rPr>
                <w:b w:val="0"/>
                <w:bCs w:val="0"/>
                <w:sz w:val="22"/>
              </w:rPr>
            </w:pPr>
            <w:r>
              <w:rPr>
                <w:sz w:val="22"/>
              </w:rPr>
              <w:t>Comments</w:t>
            </w:r>
          </w:p>
        </w:tc>
      </w:tr>
      <w:tr w:rsidR="00890AA1" w:rsidTr="00825A5A">
        <w:tc>
          <w:tcPr>
            <w:tcW w:w="1530" w:type="dxa"/>
          </w:tcPr>
          <w:p w:rsidR="00890AA1" w:rsidRDefault="00890AA1">
            <w:pPr>
              <w:pStyle w:val="Heading1"/>
              <w:rPr>
                <w:sz w:val="22"/>
              </w:rPr>
            </w:pPr>
            <w:r>
              <w:rPr>
                <w:sz w:val="22"/>
              </w:rPr>
              <w:t>Learning Objectives</w:t>
            </w:r>
          </w:p>
        </w:tc>
        <w:tc>
          <w:tcPr>
            <w:tcW w:w="1800" w:type="dxa"/>
          </w:tcPr>
          <w:p w:rsidR="00890AA1" w:rsidRDefault="008B63AC" w:rsidP="00D37309">
            <w:pPr>
              <w:rPr>
                <w:sz w:val="22"/>
              </w:rPr>
            </w:pPr>
            <w:r>
              <w:rPr>
                <w:sz w:val="22"/>
              </w:rPr>
              <w:t xml:space="preserve">Level </w:t>
            </w:r>
            <w:r w:rsidR="00A91101">
              <w:rPr>
                <w:sz w:val="22"/>
              </w:rPr>
              <w:t>3</w:t>
            </w:r>
            <w:r w:rsidR="00890AA1">
              <w:rPr>
                <w:sz w:val="22"/>
              </w:rPr>
              <w:t xml:space="preserve">, M.A. </w:t>
            </w:r>
            <w:r w:rsidR="00D37309">
              <w:rPr>
                <w:sz w:val="22"/>
              </w:rPr>
              <w:t>Aging Studies</w:t>
            </w:r>
          </w:p>
        </w:tc>
        <w:tc>
          <w:tcPr>
            <w:tcW w:w="5850" w:type="dxa"/>
          </w:tcPr>
          <w:p w:rsidR="00890AA1" w:rsidRDefault="008B63AC" w:rsidP="00FA25E2">
            <w:pPr>
              <w:rPr>
                <w:sz w:val="22"/>
              </w:rPr>
            </w:pPr>
            <w:r>
              <w:rPr>
                <w:sz w:val="22"/>
              </w:rPr>
              <w:t>Objectives are clear, measurable, and programmatic</w:t>
            </w:r>
            <w:r w:rsidR="008555F2">
              <w:rPr>
                <w:sz w:val="22"/>
              </w:rPr>
              <w:t xml:space="preserve"> and meet the goals established by CGS</w:t>
            </w:r>
            <w:r>
              <w:rPr>
                <w:sz w:val="22"/>
              </w:rPr>
              <w:t>.</w:t>
            </w:r>
            <w:r w:rsidR="00B55029">
              <w:rPr>
                <w:sz w:val="22"/>
              </w:rPr>
              <w:t xml:space="preserve"> </w:t>
            </w:r>
            <w:r w:rsidR="00A639BD">
              <w:rPr>
                <w:sz w:val="22"/>
              </w:rPr>
              <w:t xml:space="preserve"> </w:t>
            </w:r>
            <w:r w:rsidR="00FA25E2">
              <w:rPr>
                <w:sz w:val="22"/>
              </w:rPr>
              <w:t>Objective 5 may actually be two distinct objectives—one related to diversity in older adults and one related to interacting with that population.</w:t>
            </w:r>
          </w:p>
        </w:tc>
      </w:tr>
      <w:tr w:rsidR="00890AA1" w:rsidTr="00825A5A">
        <w:tc>
          <w:tcPr>
            <w:tcW w:w="1530" w:type="dxa"/>
          </w:tcPr>
          <w:p w:rsidR="00890AA1" w:rsidRDefault="00890AA1">
            <w:pPr>
              <w:rPr>
                <w:b/>
                <w:bCs/>
                <w:sz w:val="22"/>
              </w:rPr>
            </w:pPr>
            <w:r>
              <w:rPr>
                <w:b/>
                <w:bCs/>
                <w:sz w:val="22"/>
              </w:rPr>
              <w:t>How, Where, and When Assessed</w:t>
            </w:r>
          </w:p>
        </w:tc>
        <w:tc>
          <w:tcPr>
            <w:tcW w:w="1800" w:type="dxa"/>
          </w:tcPr>
          <w:p w:rsidR="00890AA1" w:rsidRDefault="00890AA1">
            <w:pPr>
              <w:rPr>
                <w:sz w:val="22"/>
              </w:rPr>
            </w:pPr>
            <w:r>
              <w:rPr>
                <w:sz w:val="22"/>
              </w:rPr>
              <w:t xml:space="preserve">Level </w:t>
            </w:r>
            <w:r w:rsidR="00A91101">
              <w:rPr>
                <w:sz w:val="22"/>
              </w:rPr>
              <w:t>3</w:t>
            </w:r>
            <w:r>
              <w:rPr>
                <w:sz w:val="22"/>
              </w:rPr>
              <w:t xml:space="preserve">, </w:t>
            </w:r>
            <w:r w:rsidR="00D37309">
              <w:rPr>
                <w:sz w:val="22"/>
              </w:rPr>
              <w:t>M.A. Aging Studies</w:t>
            </w:r>
          </w:p>
        </w:tc>
        <w:tc>
          <w:tcPr>
            <w:tcW w:w="5850" w:type="dxa"/>
          </w:tcPr>
          <w:p w:rsidR="00890AA1" w:rsidRPr="00D754A9" w:rsidRDefault="001B298C" w:rsidP="00F83D0A">
            <w:pPr>
              <w:rPr>
                <w:sz w:val="22"/>
              </w:rPr>
            </w:pPr>
            <w:r>
              <w:rPr>
                <w:sz w:val="22"/>
              </w:rPr>
              <w:t xml:space="preserve">You have direct measures with your rubrics applied to written work and theses and indirect measures with </w:t>
            </w:r>
            <w:r w:rsidR="00513E0E">
              <w:rPr>
                <w:sz w:val="22"/>
              </w:rPr>
              <w:t>the student exit survey</w:t>
            </w:r>
            <w:r w:rsidR="00F83D0A">
              <w:rPr>
                <w:sz w:val="22"/>
              </w:rPr>
              <w:t xml:space="preserve"> and supervisor’s evaluations</w:t>
            </w:r>
            <w:r>
              <w:rPr>
                <w:sz w:val="22"/>
              </w:rPr>
              <w:t xml:space="preserve">. </w:t>
            </w:r>
            <w:r w:rsidR="00580493">
              <w:rPr>
                <w:sz w:val="22"/>
              </w:rPr>
              <w:t xml:space="preserve">  The plan encompasses the direct and indirect measures and employs multiple measures for each objective, so it is a well-rounded set of measures.</w:t>
            </w:r>
            <w:r>
              <w:rPr>
                <w:sz w:val="22"/>
              </w:rPr>
              <w:t xml:space="preserve"> </w:t>
            </w:r>
            <w:r w:rsidR="00FA25E2">
              <w:rPr>
                <w:sz w:val="22"/>
              </w:rPr>
              <w:t xml:space="preserve"> </w:t>
            </w:r>
          </w:p>
        </w:tc>
      </w:tr>
      <w:tr w:rsidR="00890AA1" w:rsidTr="00825A5A">
        <w:tc>
          <w:tcPr>
            <w:tcW w:w="1530" w:type="dxa"/>
          </w:tcPr>
          <w:p w:rsidR="00890AA1" w:rsidRDefault="00890AA1">
            <w:pPr>
              <w:rPr>
                <w:b/>
                <w:bCs/>
                <w:sz w:val="22"/>
              </w:rPr>
            </w:pPr>
            <w:r>
              <w:rPr>
                <w:b/>
                <w:bCs/>
                <w:sz w:val="22"/>
              </w:rPr>
              <w:t>Expectations</w:t>
            </w:r>
          </w:p>
        </w:tc>
        <w:tc>
          <w:tcPr>
            <w:tcW w:w="1800" w:type="dxa"/>
          </w:tcPr>
          <w:p w:rsidR="00890AA1" w:rsidRDefault="00A91101">
            <w:pPr>
              <w:rPr>
                <w:sz w:val="22"/>
              </w:rPr>
            </w:pPr>
            <w:r>
              <w:rPr>
                <w:sz w:val="22"/>
              </w:rPr>
              <w:t>Level 3</w:t>
            </w:r>
            <w:r w:rsidR="00890AA1">
              <w:rPr>
                <w:sz w:val="22"/>
              </w:rPr>
              <w:t xml:space="preserve">, </w:t>
            </w:r>
            <w:r w:rsidR="00D37309">
              <w:rPr>
                <w:sz w:val="22"/>
              </w:rPr>
              <w:t>M.A. Aging Studies</w:t>
            </w:r>
          </w:p>
        </w:tc>
        <w:tc>
          <w:tcPr>
            <w:tcW w:w="5850" w:type="dxa"/>
          </w:tcPr>
          <w:p w:rsidR="00890AA1" w:rsidRPr="00773443" w:rsidRDefault="00BE0CFA" w:rsidP="00433606">
            <w:pPr>
              <w:rPr>
                <w:sz w:val="22"/>
              </w:rPr>
            </w:pPr>
            <w:r>
              <w:rPr>
                <w:sz w:val="22"/>
              </w:rPr>
              <w:t>Expectations have been established for each measure and are appropriate to graduate level work.</w:t>
            </w:r>
          </w:p>
        </w:tc>
      </w:tr>
      <w:tr w:rsidR="00890AA1" w:rsidTr="00825A5A">
        <w:tc>
          <w:tcPr>
            <w:tcW w:w="1530" w:type="dxa"/>
          </w:tcPr>
          <w:p w:rsidR="00890AA1" w:rsidRDefault="00890AA1">
            <w:pPr>
              <w:rPr>
                <w:b/>
                <w:bCs/>
                <w:sz w:val="22"/>
              </w:rPr>
            </w:pPr>
            <w:r>
              <w:rPr>
                <w:b/>
                <w:bCs/>
                <w:sz w:val="22"/>
              </w:rPr>
              <w:t>Results</w:t>
            </w:r>
          </w:p>
        </w:tc>
        <w:tc>
          <w:tcPr>
            <w:tcW w:w="1800" w:type="dxa"/>
          </w:tcPr>
          <w:p w:rsidR="00890AA1" w:rsidRDefault="00890AA1" w:rsidP="00463409">
            <w:pPr>
              <w:rPr>
                <w:sz w:val="22"/>
              </w:rPr>
            </w:pPr>
            <w:r>
              <w:rPr>
                <w:sz w:val="22"/>
              </w:rPr>
              <w:t xml:space="preserve">Level </w:t>
            </w:r>
            <w:r w:rsidR="001B298C">
              <w:rPr>
                <w:sz w:val="22"/>
              </w:rPr>
              <w:t>3</w:t>
            </w:r>
            <w:r>
              <w:rPr>
                <w:sz w:val="22"/>
              </w:rPr>
              <w:t xml:space="preserve">, </w:t>
            </w:r>
            <w:r w:rsidR="00D37309">
              <w:rPr>
                <w:sz w:val="22"/>
              </w:rPr>
              <w:t>M.A. Aging Studies</w:t>
            </w:r>
          </w:p>
        </w:tc>
        <w:tc>
          <w:tcPr>
            <w:tcW w:w="5850" w:type="dxa"/>
          </w:tcPr>
          <w:p w:rsidR="00890AA1" w:rsidRPr="00773443" w:rsidRDefault="001B298C" w:rsidP="00BE0CFA">
            <w:pPr>
              <w:rPr>
                <w:sz w:val="22"/>
              </w:rPr>
            </w:pPr>
            <w:r>
              <w:rPr>
                <w:sz w:val="22"/>
              </w:rPr>
              <w:t xml:space="preserve">Results are being collected and changes have occurred as a result of data and discussion among faculty and the advisory board.  </w:t>
            </w:r>
            <w:r w:rsidR="00637EF0">
              <w:rPr>
                <w:sz w:val="22"/>
              </w:rPr>
              <w:t>Thank you for including the numbers of students covered by the percentages.  Your students are clearly meeting or exceeding your expectations, which is not uncommon for programs catering to professionals returning for graduate work, but is good to see.  Have the results told you anything that you are watching concerning your curriculum?</w:t>
            </w:r>
            <w:r w:rsidR="00F83D0A">
              <w:rPr>
                <w:sz w:val="22"/>
              </w:rPr>
              <w:t xml:space="preserve">  More analysis of what the results tell you about student learning would be useful.</w:t>
            </w:r>
            <w:bookmarkStart w:id="0" w:name="_GoBack"/>
            <w:bookmarkEnd w:id="0"/>
          </w:p>
        </w:tc>
      </w:tr>
      <w:tr w:rsidR="00890AA1" w:rsidTr="00825A5A">
        <w:tc>
          <w:tcPr>
            <w:tcW w:w="1530" w:type="dxa"/>
          </w:tcPr>
          <w:p w:rsidR="00890AA1" w:rsidRDefault="00890AA1">
            <w:pPr>
              <w:rPr>
                <w:b/>
                <w:bCs/>
                <w:sz w:val="22"/>
              </w:rPr>
            </w:pPr>
            <w:r>
              <w:rPr>
                <w:b/>
                <w:bCs/>
                <w:sz w:val="22"/>
              </w:rPr>
              <w:t>How Results Will Be Used</w:t>
            </w:r>
          </w:p>
        </w:tc>
        <w:tc>
          <w:tcPr>
            <w:tcW w:w="1800" w:type="dxa"/>
          </w:tcPr>
          <w:p w:rsidR="00890AA1" w:rsidRDefault="00D308DB">
            <w:pPr>
              <w:rPr>
                <w:sz w:val="22"/>
              </w:rPr>
            </w:pPr>
            <w:r>
              <w:rPr>
                <w:sz w:val="22"/>
              </w:rPr>
              <w:t xml:space="preserve">Level </w:t>
            </w:r>
            <w:r w:rsidR="0081609E">
              <w:rPr>
                <w:sz w:val="22"/>
              </w:rPr>
              <w:t>3</w:t>
            </w:r>
            <w:r w:rsidR="00890AA1">
              <w:rPr>
                <w:sz w:val="22"/>
              </w:rPr>
              <w:t xml:space="preserve">, </w:t>
            </w:r>
            <w:r w:rsidR="00D37309">
              <w:rPr>
                <w:sz w:val="22"/>
              </w:rPr>
              <w:t>M.A. Aging Studies</w:t>
            </w:r>
          </w:p>
        </w:tc>
        <w:tc>
          <w:tcPr>
            <w:tcW w:w="5850" w:type="dxa"/>
          </w:tcPr>
          <w:p w:rsidR="00BA7F8D" w:rsidRPr="0081609E" w:rsidRDefault="001B298C" w:rsidP="00F83D0A">
            <w:pPr>
              <w:rPr>
                <w:sz w:val="22"/>
              </w:rPr>
            </w:pPr>
            <w:r>
              <w:rPr>
                <w:sz w:val="22"/>
              </w:rPr>
              <w:t>A feedback loop and advisory board is in place with data shared on a regular basis.</w:t>
            </w:r>
            <w:r w:rsidR="00D60C65">
              <w:rPr>
                <w:sz w:val="22"/>
              </w:rPr>
              <w:t xml:space="preserve">  </w:t>
            </w:r>
            <w:r w:rsidR="00F83D0A">
              <w:rPr>
                <w:sz w:val="22"/>
              </w:rPr>
              <w:t>This plan seems to be working well for the program, and appears stable enough to move to a two-year reporting cycle.</w:t>
            </w:r>
          </w:p>
        </w:tc>
      </w:tr>
    </w:tbl>
    <w:p w:rsidR="001B298C" w:rsidRDefault="001B298C" w:rsidP="00513E0E"/>
    <w:sectPr w:rsidR="001B298C" w:rsidSect="008555F2">
      <w:pgSz w:w="12240" w:h="15840"/>
      <w:pgMar w:top="864"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025" w:rsidRDefault="00D80025">
      <w:r>
        <w:separator/>
      </w:r>
    </w:p>
  </w:endnote>
  <w:endnote w:type="continuationSeparator" w:id="0">
    <w:p w:rsidR="00D80025" w:rsidRDefault="00D80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025" w:rsidRDefault="00D80025">
      <w:r>
        <w:separator/>
      </w:r>
    </w:p>
  </w:footnote>
  <w:footnote w:type="continuationSeparator" w:id="0">
    <w:p w:rsidR="00D80025" w:rsidRDefault="00D80025">
      <w:r>
        <w:continuationSeparator/>
      </w:r>
    </w:p>
  </w:footnote>
  <w:footnote w:id="1">
    <w:p w:rsidR="00E51FC9" w:rsidRPr="00960038" w:rsidRDefault="00E51FC9">
      <w:pPr>
        <w:pStyle w:val="FootnoteText"/>
      </w:pPr>
      <w:r>
        <w:rPr>
          <w:rStyle w:val="FootnoteReference"/>
        </w:rPr>
        <w:t>*</w:t>
      </w:r>
      <w:r>
        <w:t xml:space="preserve"> Levels should not be interpreted as grades or scores; they are stages of implementation based on patterns of characteristics described by North Central Association.  These levels are approximations based on the information provided in the summaries.  Please refer to the checklist for the Primary Traits listed for each level on the assessment web site at </w:t>
      </w:r>
      <w:hyperlink r:id="rId1" w:history="1">
        <w:r w:rsidRPr="002F131C">
          <w:rPr>
            <w:rStyle w:val="Hyperlink"/>
          </w:rPr>
          <w:t>www.eiu.edu/~assess</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843"/>
    <w:rsid w:val="000128DC"/>
    <w:rsid w:val="00037883"/>
    <w:rsid w:val="000904B2"/>
    <w:rsid w:val="000B6039"/>
    <w:rsid w:val="000C33F2"/>
    <w:rsid w:val="000E5E4A"/>
    <w:rsid w:val="00100B51"/>
    <w:rsid w:val="00107E2B"/>
    <w:rsid w:val="0014089D"/>
    <w:rsid w:val="001469E2"/>
    <w:rsid w:val="001B0A95"/>
    <w:rsid w:val="001B298C"/>
    <w:rsid w:val="002331B0"/>
    <w:rsid w:val="00260918"/>
    <w:rsid w:val="002D1E9B"/>
    <w:rsid w:val="00350C40"/>
    <w:rsid w:val="00372454"/>
    <w:rsid w:val="003B394E"/>
    <w:rsid w:val="003C5267"/>
    <w:rsid w:val="003E0795"/>
    <w:rsid w:val="00417936"/>
    <w:rsid w:val="00433606"/>
    <w:rsid w:val="00446B4C"/>
    <w:rsid w:val="00463409"/>
    <w:rsid w:val="00483263"/>
    <w:rsid w:val="004F0863"/>
    <w:rsid w:val="004F4F81"/>
    <w:rsid w:val="00513E0E"/>
    <w:rsid w:val="00524859"/>
    <w:rsid w:val="00552578"/>
    <w:rsid w:val="00580493"/>
    <w:rsid w:val="005F265E"/>
    <w:rsid w:val="005F440F"/>
    <w:rsid w:val="00637EF0"/>
    <w:rsid w:val="00643DCD"/>
    <w:rsid w:val="006700DD"/>
    <w:rsid w:val="006715C9"/>
    <w:rsid w:val="006729A4"/>
    <w:rsid w:val="006A6EF9"/>
    <w:rsid w:val="006B23D2"/>
    <w:rsid w:val="006B3955"/>
    <w:rsid w:val="006E2F1D"/>
    <w:rsid w:val="007416B0"/>
    <w:rsid w:val="00763BD7"/>
    <w:rsid w:val="007721CD"/>
    <w:rsid w:val="00773443"/>
    <w:rsid w:val="0077571E"/>
    <w:rsid w:val="007A1C47"/>
    <w:rsid w:val="007D287A"/>
    <w:rsid w:val="007D769B"/>
    <w:rsid w:val="007E5C9F"/>
    <w:rsid w:val="0081609E"/>
    <w:rsid w:val="008256A7"/>
    <w:rsid w:val="00825A5A"/>
    <w:rsid w:val="00853EA9"/>
    <w:rsid w:val="008555F2"/>
    <w:rsid w:val="00863F1A"/>
    <w:rsid w:val="008734ED"/>
    <w:rsid w:val="00890AA1"/>
    <w:rsid w:val="008B63AC"/>
    <w:rsid w:val="009062FC"/>
    <w:rsid w:val="009072DD"/>
    <w:rsid w:val="0092722D"/>
    <w:rsid w:val="00937054"/>
    <w:rsid w:val="00960038"/>
    <w:rsid w:val="00994465"/>
    <w:rsid w:val="009A3020"/>
    <w:rsid w:val="009E7FF6"/>
    <w:rsid w:val="009F6D3B"/>
    <w:rsid w:val="00A00851"/>
    <w:rsid w:val="00A04200"/>
    <w:rsid w:val="00A3608D"/>
    <w:rsid w:val="00A422D3"/>
    <w:rsid w:val="00A54F1A"/>
    <w:rsid w:val="00A639BD"/>
    <w:rsid w:val="00A91101"/>
    <w:rsid w:val="00AA2C12"/>
    <w:rsid w:val="00AD619E"/>
    <w:rsid w:val="00B300E9"/>
    <w:rsid w:val="00B44105"/>
    <w:rsid w:val="00B55029"/>
    <w:rsid w:val="00B60569"/>
    <w:rsid w:val="00B9639B"/>
    <w:rsid w:val="00BA7F8D"/>
    <w:rsid w:val="00BC025F"/>
    <w:rsid w:val="00BC523A"/>
    <w:rsid w:val="00BE0CFA"/>
    <w:rsid w:val="00BE31DA"/>
    <w:rsid w:val="00C006CC"/>
    <w:rsid w:val="00C106B3"/>
    <w:rsid w:val="00C14843"/>
    <w:rsid w:val="00C21120"/>
    <w:rsid w:val="00C216C2"/>
    <w:rsid w:val="00C72979"/>
    <w:rsid w:val="00C9513E"/>
    <w:rsid w:val="00CC7ED7"/>
    <w:rsid w:val="00D308DB"/>
    <w:rsid w:val="00D30B33"/>
    <w:rsid w:val="00D37309"/>
    <w:rsid w:val="00D60C65"/>
    <w:rsid w:val="00D754A9"/>
    <w:rsid w:val="00D80025"/>
    <w:rsid w:val="00D85648"/>
    <w:rsid w:val="00DA7026"/>
    <w:rsid w:val="00DE5C60"/>
    <w:rsid w:val="00E03BA7"/>
    <w:rsid w:val="00E15D79"/>
    <w:rsid w:val="00E51FC9"/>
    <w:rsid w:val="00E65AC4"/>
    <w:rsid w:val="00E737CC"/>
    <w:rsid w:val="00E75864"/>
    <w:rsid w:val="00EC163B"/>
    <w:rsid w:val="00EF5BE7"/>
    <w:rsid w:val="00F34840"/>
    <w:rsid w:val="00F83D0A"/>
    <w:rsid w:val="00FA23E5"/>
    <w:rsid w:val="00FA25E2"/>
    <w:rsid w:val="00FB6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styleId="Hyperlink">
    <w:name w:val="Hyperlink"/>
    <w:basedOn w:val="DefaultParagraphFont"/>
    <w:rsid w:val="00960038"/>
    <w:rPr>
      <w:color w:val="0000FF"/>
      <w:u w:val="single"/>
    </w:rPr>
  </w:style>
  <w:style w:type="paragraph" w:styleId="BalloonText">
    <w:name w:val="Balloon Text"/>
    <w:basedOn w:val="Normal"/>
    <w:semiHidden/>
    <w:rsid w:val="000E5E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styleId="Hyperlink">
    <w:name w:val="Hyperlink"/>
    <w:basedOn w:val="DefaultParagraphFont"/>
    <w:rsid w:val="00960038"/>
    <w:rPr>
      <w:color w:val="0000FF"/>
      <w:u w:val="single"/>
    </w:rPr>
  </w:style>
  <w:style w:type="paragraph" w:styleId="BalloonText">
    <w:name w:val="Balloon Text"/>
    <w:basedOn w:val="Normal"/>
    <w:semiHidden/>
    <w:rsid w:val="000E5E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eiu.edu/~ass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279</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EIU</Company>
  <LinksUpToDate>false</LinksUpToDate>
  <CharactersWithSpaces>1788</CharactersWithSpaces>
  <SharedDoc>false</SharedDoc>
  <HLinks>
    <vt:vector size="6" baseType="variant">
      <vt:variant>
        <vt:i4>3145789</vt:i4>
      </vt:variant>
      <vt:variant>
        <vt:i4>0</vt:i4>
      </vt:variant>
      <vt:variant>
        <vt:i4>0</vt:i4>
      </vt:variant>
      <vt:variant>
        <vt:i4>5</vt:i4>
      </vt:variant>
      <vt:variant>
        <vt:lpwstr>http://www.eiu.edu/~assess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Eastern Illinois University</dc:creator>
  <cp:lastModifiedBy>Sanders, Karla</cp:lastModifiedBy>
  <cp:revision>3</cp:revision>
  <cp:lastPrinted>2007-07-25T15:43:00Z</cp:lastPrinted>
  <dcterms:created xsi:type="dcterms:W3CDTF">2019-07-05T14:14:00Z</dcterms:created>
  <dcterms:modified xsi:type="dcterms:W3CDTF">2019-07-05T15:13:00Z</dcterms:modified>
</cp:coreProperties>
</file>